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7B4777" w14:paraId="0B430CBB" w14:textId="77777777" w:rsidTr="007B4777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7B4777" w14:paraId="7B187EF8" w14:textId="77777777" w:rsidTr="007B47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A1438" w14:textId="77777777" w:rsidR="00F37DDF" w:rsidRDefault="00F37DD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672F9" w14:textId="77777777" w:rsidR="00F37DDF" w:rsidRDefault="007B477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B4777" w14:paraId="224BD93E" w14:textId="77777777" w:rsidTr="007B47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BE55B" w14:textId="77777777" w:rsidR="00F37DDF" w:rsidRDefault="00F37DD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2AB83D" w14:textId="68FBD127" w:rsidR="00F37DDF" w:rsidRDefault="007B4777">
                  <w:r>
                    <w:rPr>
                      <w:color w:val="000000"/>
                      <w:sz w:val="24"/>
                    </w:rPr>
                    <w:t xml:space="preserve">Lietuvos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 w:rsidR="0067058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670583"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 w:rsidR="0067058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670583">
                    <w:rPr>
                      <w:color w:val="000000"/>
                      <w:sz w:val="24"/>
                    </w:rPr>
                    <w:t>įsakymu</w:t>
                  </w:r>
                  <w:proofErr w:type="spellEnd"/>
                </w:p>
              </w:tc>
            </w:tr>
            <w:tr w:rsidR="007B4777" w14:paraId="395CBBEE" w14:textId="77777777" w:rsidTr="007B47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9F6F7" w14:textId="77777777" w:rsidR="00F37DDF" w:rsidRDefault="00F37DD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43A99" w14:textId="7552F7F5" w:rsidR="00F37DDF" w:rsidRDefault="00670583">
                  <w:r>
                    <w:t xml:space="preserve">2022 m. </w:t>
                  </w:r>
                  <w:proofErr w:type="spellStart"/>
                  <w:r>
                    <w:t>vasario</w:t>
                  </w:r>
                  <w:proofErr w:type="spellEnd"/>
                  <w:r>
                    <w:t xml:space="preserve"> 1 d.</w:t>
                  </w:r>
                </w:p>
              </w:tc>
            </w:tr>
            <w:tr w:rsidR="007B4777" w14:paraId="1B4FB77F" w14:textId="77777777" w:rsidTr="007B47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262D1" w14:textId="77777777" w:rsidR="00F37DDF" w:rsidRDefault="00F37DD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5BF19" w14:textId="58BF9688" w:rsidR="00F37DDF" w:rsidRDefault="007B4777">
                  <w:r>
                    <w:rPr>
                      <w:color w:val="000000"/>
                      <w:sz w:val="24"/>
                    </w:rPr>
                    <w:t xml:space="preserve"> Nr.: </w:t>
                  </w:r>
                  <w:r w:rsidR="00670583">
                    <w:rPr>
                      <w:color w:val="000000"/>
                      <w:sz w:val="24"/>
                    </w:rPr>
                    <w:t>V-6</w:t>
                  </w:r>
                </w:p>
              </w:tc>
            </w:tr>
            <w:tr w:rsidR="007B4777" w14:paraId="5BDFCAA3" w14:textId="77777777" w:rsidTr="007B477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3F5661" w14:textId="77777777" w:rsidR="00F37DDF" w:rsidRDefault="00F37DDF"/>
              </w:tc>
            </w:tr>
            <w:tr w:rsidR="007B4777" w14:paraId="327082AF" w14:textId="77777777" w:rsidTr="007B477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DC454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LIETUVOS KINO CENTRO PRIE KULTŪROS MINISTERIJOS</w:t>
                  </w:r>
                </w:p>
              </w:tc>
            </w:tr>
            <w:tr w:rsidR="007B4777" w14:paraId="68643D90" w14:textId="77777777" w:rsidTr="007B477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22F72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PATARĖJAS</w:t>
                  </w:r>
                </w:p>
              </w:tc>
            </w:tr>
            <w:tr w:rsidR="007B4777" w14:paraId="62160BDC" w14:textId="77777777" w:rsidTr="007B477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AA4A3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2D1D4F6" w14:textId="77777777" w:rsidR="00F37DDF" w:rsidRDefault="00F37DDF"/>
        </w:tc>
        <w:tc>
          <w:tcPr>
            <w:tcW w:w="13" w:type="dxa"/>
          </w:tcPr>
          <w:p w14:paraId="111FC7DC" w14:textId="77777777" w:rsidR="00F37DDF" w:rsidRDefault="00F37DDF">
            <w:pPr>
              <w:pStyle w:val="EmptyLayoutCell"/>
            </w:pPr>
          </w:p>
        </w:tc>
      </w:tr>
      <w:tr w:rsidR="00F37DDF" w14:paraId="3EB5A63C" w14:textId="77777777">
        <w:trPr>
          <w:trHeight w:val="349"/>
        </w:trPr>
        <w:tc>
          <w:tcPr>
            <w:tcW w:w="13" w:type="dxa"/>
          </w:tcPr>
          <w:p w14:paraId="264C1230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4F629460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13E31805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0A1D35F0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1DAADB8E" w14:textId="77777777" w:rsidR="00F37DDF" w:rsidRDefault="00F37DDF">
            <w:pPr>
              <w:pStyle w:val="EmptyLayoutCell"/>
            </w:pPr>
          </w:p>
        </w:tc>
      </w:tr>
      <w:tr w:rsidR="007B4777" w14:paraId="1417E656" w14:textId="77777777" w:rsidTr="007B4777">
        <w:tc>
          <w:tcPr>
            <w:tcW w:w="13" w:type="dxa"/>
          </w:tcPr>
          <w:p w14:paraId="59B728DB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6352C88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74A53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46DB3A27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F37DDF" w14:paraId="0C84BD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2CAA3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VIII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42B87C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56BE1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vadovui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</w:tbl>
          <w:p w14:paraId="3A86FB22" w14:textId="77777777" w:rsidR="00F37DDF" w:rsidRDefault="00F37DDF"/>
        </w:tc>
      </w:tr>
      <w:tr w:rsidR="00F37DDF" w14:paraId="038B43D6" w14:textId="77777777">
        <w:trPr>
          <w:trHeight w:val="120"/>
        </w:trPr>
        <w:tc>
          <w:tcPr>
            <w:tcW w:w="13" w:type="dxa"/>
          </w:tcPr>
          <w:p w14:paraId="73EC1EF2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446C2279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03735FD7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7C307373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69C9F364" w14:textId="77777777" w:rsidR="00F37DDF" w:rsidRDefault="00F37DDF">
            <w:pPr>
              <w:pStyle w:val="EmptyLayoutCell"/>
            </w:pPr>
          </w:p>
        </w:tc>
      </w:tr>
      <w:tr w:rsidR="007B4777" w14:paraId="1E702265" w14:textId="77777777" w:rsidTr="007B4777">
        <w:tc>
          <w:tcPr>
            <w:tcW w:w="13" w:type="dxa"/>
          </w:tcPr>
          <w:p w14:paraId="10B60990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1CB5863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9A238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4AF10E11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7CB57BB2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37DDF" w14:paraId="0D4621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EA6589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7D5974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6726354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Personalo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72B5C9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C4A9DF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5E3EC4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102A97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Korupcijos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prevencija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8F93D68" w14:textId="77777777" w:rsidR="00F37DDF" w:rsidRDefault="00F37DDF"/>
              </w:tc>
            </w:tr>
          </w:tbl>
          <w:p w14:paraId="59574F5A" w14:textId="77777777" w:rsidR="00F37DDF" w:rsidRDefault="00F37DDF"/>
        </w:tc>
      </w:tr>
      <w:tr w:rsidR="00F37DDF" w14:paraId="14116306" w14:textId="77777777">
        <w:trPr>
          <w:trHeight w:val="126"/>
        </w:trPr>
        <w:tc>
          <w:tcPr>
            <w:tcW w:w="13" w:type="dxa"/>
          </w:tcPr>
          <w:p w14:paraId="4EE44406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6127106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C86BAAA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47B3CA2C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575FDF96" w14:textId="77777777" w:rsidR="00F37DDF" w:rsidRDefault="00F37DDF">
            <w:pPr>
              <w:pStyle w:val="EmptyLayoutCell"/>
            </w:pPr>
          </w:p>
        </w:tc>
      </w:tr>
      <w:tr w:rsidR="007B4777" w14:paraId="56866392" w14:textId="77777777" w:rsidTr="007B4777">
        <w:tc>
          <w:tcPr>
            <w:tcW w:w="13" w:type="dxa"/>
          </w:tcPr>
          <w:p w14:paraId="7A10955F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13C5EB8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F668E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404E37F8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7E6B82A4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37DDF" w14:paraId="579407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E969FE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7. Kino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Lietuvos kino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centro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7731B4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FDC9C0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Personalo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5977B5A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DCCB7F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užtikrinimas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37DDF" w14:paraId="470AACF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80C4CC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Korupcijos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prevencijos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F9B2871" w14:textId="77777777" w:rsidR="00F37DDF" w:rsidRDefault="00F37DDF"/>
              </w:tc>
            </w:tr>
          </w:tbl>
          <w:p w14:paraId="7D7FB6B3" w14:textId="77777777" w:rsidR="00F37DDF" w:rsidRDefault="00F37DDF"/>
        </w:tc>
      </w:tr>
      <w:tr w:rsidR="00F37DDF" w14:paraId="590AF6D6" w14:textId="77777777">
        <w:trPr>
          <w:trHeight w:val="100"/>
        </w:trPr>
        <w:tc>
          <w:tcPr>
            <w:tcW w:w="13" w:type="dxa"/>
          </w:tcPr>
          <w:p w14:paraId="7CA6BF49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4055F43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7D245E09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77387128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4B5A0F54" w14:textId="77777777" w:rsidR="00F37DDF" w:rsidRDefault="00F37DDF">
            <w:pPr>
              <w:pStyle w:val="EmptyLayoutCell"/>
            </w:pPr>
          </w:p>
        </w:tc>
      </w:tr>
      <w:tr w:rsidR="007B4777" w14:paraId="0518759D" w14:textId="77777777" w:rsidTr="007B4777">
        <w:tc>
          <w:tcPr>
            <w:tcW w:w="13" w:type="dxa"/>
          </w:tcPr>
          <w:p w14:paraId="14AC4A1C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30A3C9E6" w14:textId="77777777" w:rsidR="00F37DDF" w:rsidRDefault="00F37DD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761D37E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53919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FEC44EF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9F7544A" w14:textId="77777777" w:rsidR="00F37DDF" w:rsidRDefault="00F37DDF"/>
        </w:tc>
      </w:tr>
      <w:tr w:rsidR="00F37DDF" w14:paraId="6D3D1320" w14:textId="77777777">
        <w:trPr>
          <w:trHeight w:val="39"/>
        </w:trPr>
        <w:tc>
          <w:tcPr>
            <w:tcW w:w="13" w:type="dxa"/>
          </w:tcPr>
          <w:p w14:paraId="1664B06D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FD0F567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7E6345E8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417DDF26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14E6970A" w14:textId="77777777" w:rsidR="00F37DDF" w:rsidRDefault="00F37DDF">
            <w:pPr>
              <w:pStyle w:val="EmptyLayoutCell"/>
            </w:pPr>
          </w:p>
        </w:tc>
      </w:tr>
      <w:tr w:rsidR="007B4777" w14:paraId="573382C6" w14:textId="77777777" w:rsidTr="007B4777">
        <w:tc>
          <w:tcPr>
            <w:tcW w:w="13" w:type="dxa"/>
          </w:tcPr>
          <w:p w14:paraId="5B13B12D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79743F9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1039C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7E5667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8DF2B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0D16C84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E2AA4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574C9A9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0EC29B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33E4E0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34402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lastRenderedPageBreak/>
                    <w:t>teisinių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67114CF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7B400" w14:textId="77777777" w:rsidR="00F37DDF" w:rsidRDefault="007B4777">
                  <w:r>
                    <w:rPr>
                      <w:color w:val="000000"/>
                      <w:sz w:val="24"/>
                    </w:rPr>
                    <w:lastRenderedPageBreak/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570143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C2D8BB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41DF8C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61BA6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1A39A4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FBB85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atrankos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perkėlimo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592C10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2CBAA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kvalifikacijos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kėlimą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kvalifikacijos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kėlimo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7B70C4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8A6C7E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personalo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7AB6047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384B85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2EF9CF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D5DFDC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32BFC8D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517D3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6388E45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892CD0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0E904B2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C5046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3DC9760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0A43C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4C2ABE8" w14:textId="77777777" w:rsidR="00F37DDF" w:rsidRDefault="00F37DDF"/>
        </w:tc>
      </w:tr>
      <w:tr w:rsidR="00F37DDF" w14:paraId="4A8DDEEF" w14:textId="77777777">
        <w:trPr>
          <w:trHeight w:val="20"/>
        </w:trPr>
        <w:tc>
          <w:tcPr>
            <w:tcW w:w="13" w:type="dxa"/>
          </w:tcPr>
          <w:p w14:paraId="6E2CBA85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44FC834B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6459B35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575FF441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172A3DB4" w14:textId="77777777" w:rsidR="00F37DDF" w:rsidRDefault="00F37DDF">
            <w:pPr>
              <w:pStyle w:val="EmptyLayoutCell"/>
            </w:pPr>
          </w:p>
        </w:tc>
      </w:tr>
      <w:tr w:rsidR="007B4777" w14:paraId="4E7F6F0A" w14:textId="77777777" w:rsidTr="007B4777">
        <w:tc>
          <w:tcPr>
            <w:tcW w:w="13" w:type="dxa"/>
          </w:tcPr>
          <w:p w14:paraId="3FAE47AC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5713C1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06AF4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7DDF" w14:paraId="7EF39B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F20697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2961D9D" w14:textId="77777777" w:rsidR="00F37DDF" w:rsidRDefault="00F37DDF"/>
        </w:tc>
      </w:tr>
      <w:tr w:rsidR="00F37DDF" w14:paraId="675DB6EB" w14:textId="77777777">
        <w:trPr>
          <w:trHeight w:val="20"/>
        </w:trPr>
        <w:tc>
          <w:tcPr>
            <w:tcW w:w="13" w:type="dxa"/>
          </w:tcPr>
          <w:p w14:paraId="09D3B491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19C2E1AA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6457F911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1DFAF7DD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4003A856" w14:textId="77777777" w:rsidR="00F37DDF" w:rsidRDefault="00F37DDF">
            <w:pPr>
              <w:pStyle w:val="EmptyLayoutCell"/>
            </w:pPr>
          </w:p>
        </w:tc>
      </w:tr>
      <w:tr w:rsidR="007B4777" w14:paraId="0F4B30BC" w14:textId="77777777" w:rsidTr="007B4777">
        <w:tc>
          <w:tcPr>
            <w:tcW w:w="13" w:type="dxa"/>
          </w:tcPr>
          <w:p w14:paraId="113F40BF" w14:textId="77777777" w:rsidR="00F37DDF" w:rsidRDefault="00F37DD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37DDF" w14:paraId="19F246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39E07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E8EA719" w14:textId="77777777" w:rsidR="00F37DDF" w:rsidRDefault="00F37DDF"/>
        </w:tc>
      </w:tr>
      <w:tr w:rsidR="00F37DDF" w14:paraId="451EC55A" w14:textId="77777777">
        <w:trPr>
          <w:trHeight w:val="139"/>
        </w:trPr>
        <w:tc>
          <w:tcPr>
            <w:tcW w:w="13" w:type="dxa"/>
          </w:tcPr>
          <w:p w14:paraId="52996247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615C30A8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8C38855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7051DC8C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0F86E57E" w14:textId="77777777" w:rsidR="00F37DDF" w:rsidRDefault="00F37DDF">
            <w:pPr>
              <w:pStyle w:val="EmptyLayoutCell"/>
            </w:pPr>
          </w:p>
        </w:tc>
      </w:tr>
      <w:tr w:rsidR="007B4777" w14:paraId="16D7D787" w14:textId="77777777" w:rsidTr="007B4777">
        <w:tc>
          <w:tcPr>
            <w:tcW w:w="13" w:type="dxa"/>
          </w:tcPr>
          <w:p w14:paraId="4885D879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51CE7E6F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79D5586A" w14:textId="77777777" w:rsidR="00F37DDF" w:rsidRDefault="00F37D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F37DDF" w14:paraId="2732428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ADD086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F255B75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F37DDF" w14:paraId="68DCFD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2E7F78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74CF5804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49A7F6B2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F37DDF" w14:paraId="546F71E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0EE6398" w14:textId="77777777" w:rsidR="00F37DDF" w:rsidRDefault="007B477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F37DDF" w14:paraId="00E684C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2722AF3" w14:textId="77777777" w:rsidR="00F37DDF" w:rsidRDefault="007B477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Nepasirinkta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37DDF" w14:paraId="21468E6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68040E6" w14:textId="77777777" w:rsidR="00F37DDF" w:rsidRDefault="007B4777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2AD1B20A" w14:textId="77777777" w:rsidR="00F37DDF" w:rsidRDefault="00F37DDF"/>
                    </w:tc>
                  </w:tr>
                  <w:tr w:rsidR="00F37DDF" w14:paraId="684A9EEA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F37DDF" w14:paraId="37B1157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AFF0AE" w14:textId="77777777" w:rsidR="00F37DDF" w:rsidRDefault="007B477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F37DDF" w14:paraId="3E422E2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F91FA75" w14:textId="77777777" w:rsidR="00F37DDF" w:rsidRDefault="007B477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37DDF" w14:paraId="1D48490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F05061" w14:textId="77777777" w:rsidR="00F37DDF" w:rsidRDefault="007B477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7927007C" w14:textId="77777777" w:rsidR="00F37DDF" w:rsidRDefault="00F37DDF"/>
                    </w:tc>
                  </w:tr>
                </w:tbl>
                <w:p w14:paraId="11BF593E" w14:textId="77777777" w:rsidR="00F37DDF" w:rsidRDefault="00F37DDF"/>
              </w:tc>
            </w:tr>
            <w:tr w:rsidR="00F37DDF" w14:paraId="66516E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709002" w14:textId="77777777" w:rsidR="00F37DDF" w:rsidRDefault="007B4777">
                  <w:r>
                    <w:rPr>
                      <w:color w:val="000000"/>
                      <w:sz w:val="24"/>
                    </w:rPr>
                    <w:lastRenderedPageBreak/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6391451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725AD9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0DB80E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224F9EF1" w14:textId="77777777" w:rsidR="00F37DDF" w:rsidRDefault="00F37DDF"/>
              </w:tc>
            </w:tr>
            <w:tr w:rsidR="00F37DDF" w14:paraId="418435C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6567AF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1540E7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14:paraId="55D0ACDB" w14:textId="77777777" w:rsidR="00F37DDF" w:rsidRDefault="00F37DDF"/>
              </w:tc>
            </w:tr>
          </w:tbl>
          <w:p w14:paraId="08102CE6" w14:textId="77777777" w:rsidR="00F37DDF" w:rsidRDefault="00F37DDF"/>
        </w:tc>
      </w:tr>
      <w:tr w:rsidR="00F37DDF" w14:paraId="025E28A2" w14:textId="77777777">
        <w:trPr>
          <w:trHeight w:val="62"/>
        </w:trPr>
        <w:tc>
          <w:tcPr>
            <w:tcW w:w="13" w:type="dxa"/>
          </w:tcPr>
          <w:p w14:paraId="717409D1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0BA98479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014BDF04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56B753C0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5214C88A" w14:textId="77777777" w:rsidR="00F37DDF" w:rsidRDefault="00F37DDF">
            <w:pPr>
              <w:pStyle w:val="EmptyLayoutCell"/>
            </w:pPr>
          </w:p>
        </w:tc>
      </w:tr>
      <w:tr w:rsidR="007B4777" w14:paraId="50616F4A" w14:textId="77777777" w:rsidTr="007B4777">
        <w:tc>
          <w:tcPr>
            <w:tcW w:w="13" w:type="dxa"/>
          </w:tcPr>
          <w:p w14:paraId="714981CD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C058319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6A831698" w14:textId="77777777" w:rsidR="00F37DDF" w:rsidRDefault="00F37D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F37DDF" w14:paraId="1CEFA6A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6AE1E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5529A21" w14:textId="77777777" w:rsidR="00F37DDF" w:rsidRDefault="007B47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F37DDF" w14:paraId="37644C1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A07A7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33.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7987350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39CA9FC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C8C217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F37DDF" w14:paraId="4890E23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5FA02E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33.2.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F37DDF" w14:paraId="2B8EA7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3728E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33.3.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F37DDF" w14:paraId="3D13B3A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B21671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33.4.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F37DDF" w14:paraId="079DBBF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DF2BBD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33.5.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4941B9F1" w14:textId="77777777" w:rsidR="00F37DDF" w:rsidRDefault="00F37DDF"/>
              </w:tc>
            </w:tr>
            <w:tr w:rsidR="00F37DDF" w14:paraId="28F9CC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095B20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6EFEC72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4192F1A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3620BF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3D4DDC07" w14:textId="77777777" w:rsidR="00F37DDF" w:rsidRDefault="00F37DDF"/>
              </w:tc>
            </w:tr>
            <w:tr w:rsidR="00F37DDF" w14:paraId="61160A3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A9EAC" w14:textId="77777777" w:rsidR="00F37DDF" w:rsidRDefault="007B4777">
                  <w:r>
                    <w:rPr>
                      <w:color w:val="000000"/>
                      <w:sz w:val="24"/>
                    </w:rPr>
                    <w:t xml:space="preserve">35.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37DDF" w14:paraId="54669CA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F37DDF" w14:paraId="10054D5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2E91A" w14:textId="77777777" w:rsidR="00F37DDF" w:rsidRDefault="007B4777">
                        <w:r>
                          <w:rPr>
                            <w:color w:val="000000"/>
                            <w:sz w:val="24"/>
                          </w:rPr>
                          <w:t xml:space="preserve">35.1.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36757DC4" w14:textId="77777777" w:rsidR="00F37DDF" w:rsidRDefault="00F37DDF"/>
              </w:tc>
            </w:tr>
          </w:tbl>
          <w:p w14:paraId="7F945AFA" w14:textId="77777777" w:rsidR="00F37DDF" w:rsidRDefault="00F37DDF"/>
        </w:tc>
      </w:tr>
      <w:tr w:rsidR="00F37DDF" w14:paraId="73D47CE0" w14:textId="77777777">
        <w:trPr>
          <w:trHeight w:val="517"/>
        </w:trPr>
        <w:tc>
          <w:tcPr>
            <w:tcW w:w="13" w:type="dxa"/>
          </w:tcPr>
          <w:p w14:paraId="44F7540E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5F6085AF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14F57A4C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2861626B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3B096E2D" w14:textId="77777777" w:rsidR="00F37DDF" w:rsidRDefault="00F37DDF">
            <w:pPr>
              <w:pStyle w:val="EmptyLayoutCell"/>
            </w:pPr>
          </w:p>
        </w:tc>
      </w:tr>
      <w:tr w:rsidR="007B4777" w14:paraId="4905EC47" w14:textId="77777777" w:rsidTr="007B4777">
        <w:tc>
          <w:tcPr>
            <w:tcW w:w="13" w:type="dxa"/>
          </w:tcPr>
          <w:p w14:paraId="39C796FC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38F813E5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0200392" w14:textId="77777777" w:rsidR="00F37DDF" w:rsidRDefault="00F37DD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F37DDF" w14:paraId="44F35E9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5C78B" w14:textId="77777777" w:rsidR="00F37DDF" w:rsidRDefault="007B4777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34C842" w14:textId="77777777" w:rsidR="00F37DDF" w:rsidRDefault="00F37DDF"/>
              </w:tc>
            </w:tr>
            <w:tr w:rsidR="00F37DDF" w14:paraId="511E6D3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1E103" w14:textId="77777777" w:rsidR="00F37DDF" w:rsidRDefault="00F37D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A21577" w14:textId="77777777" w:rsidR="00F37DDF" w:rsidRDefault="00F37DDF"/>
              </w:tc>
            </w:tr>
            <w:tr w:rsidR="00F37DDF" w14:paraId="741EBAD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50C1E8" w14:textId="77777777" w:rsidR="00F37DDF" w:rsidRDefault="007B4777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B9C7A" w14:textId="77777777" w:rsidR="00F37DDF" w:rsidRDefault="00F37DDF"/>
              </w:tc>
            </w:tr>
            <w:tr w:rsidR="00F37DDF" w14:paraId="30B9761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22DEE" w14:textId="77777777" w:rsidR="00F37DDF" w:rsidRDefault="00F37D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8F846" w14:textId="77777777" w:rsidR="00F37DDF" w:rsidRDefault="00F37DDF"/>
              </w:tc>
            </w:tr>
            <w:tr w:rsidR="00F37DDF" w14:paraId="46B9D26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40FF8" w14:textId="77777777" w:rsidR="00F37DDF" w:rsidRDefault="007B4777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57F1A" w14:textId="77777777" w:rsidR="00F37DDF" w:rsidRDefault="00F37DDF"/>
              </w:tc>
            </w:tr>
            <w:tr w:rsidR="00F37DDF" w14:paraId="2390440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9779B" w14:textId="77777777" w:rsidR="00F37DDF" w:rsidRDefault="00F37D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E6C60" w14:textId="77777777" w:rsidR="00F37DDF" w:rsidRDefault="00F37DDF"/>
              </w:tc>
            </w:tr>
            <w:tr w:rsidR="00F37DDF" w14:paraId="6A9350C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F1111" w14:textId="77777777" w:rsidR="00F37DDF" w:rsidRDefault="007B477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EA66C" w14:textId="77777777" w:rsidR="00F37DDF" w:rsidRDefault="00F37DDF"/>
              </w:tc>
            </w:tr>
            <w:tr w:rsidR="00F37DDF" w14:paraId="1AB375F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ED070" w14:textId="77777777" w:rsidR="00F37DDF" w:rsidRDefault="00F37DD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F32F9" w14:textId="77777777" w:rsidR="00F37DDF" w:rsidRDefault="00F37DDF"/>
              </w:tc>
            </w:tr>
          </w:tbl>
          <w:p w14:paraId="71C05F36" w14:textId="77777777" w:rsidR="00F37DDF" w:rsidRDefault="00F37DDF"/>
        </w:tc>
      </w:tr>
      <w:tr w:rsidR="00F37DDF" w14:paraId="5781FEE4" w14:textId="77777777">
        <w:trPr>
          <w:trHeight w:val="41"/>
        </w:trPr>
        <w:tc>
          <w:tcPr>
            <w:tcW w:w="13" w:type="dxa"/>
          </w:tcPr>
          <w:p w14:paraId="0346313E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36DBDC02" w14:textId="77777777" w:rsidR="00F37DDF" w:rsidRDefault="00F37DDF">
            <w:pPr>
              <w:pStyle w:val="EmptyLayoutCell"/>
            </w:pPr>
          </w:p>
        </w:tc>
        <w:tc>
          <w:tcPr>
            <w:tcW w:w="1" w:type="dxa"/>
          </w:tcPr>
          <w:p w14:paraId="2B941352" w14:textId="77777777" w:rsidR="00F37DDF" w:rsidRDefault="00F37DDF">
            <w:pPr>
              <w:pStyle w:val="EmptyLayoutCell"/>
            </w:pPr>
          </w:p>
        </w:tc>
        <w:tc>
          <w:tcPr>
            <w:tcW w:w="9055" w:type="dxa"/>
          </w:tcPr>
          <w:p w14:paraId="6AB5EC0E" w14:textId="77777777" w:rsidR="00F37DDF" w:rsidRDefault="00F37DDF">
            <w:pPr>
              <w:pStyle w:val="EmptyLayoutCell"/>
            </w:pPr>
          </w:p>
        </w:tc>
        <w:tc>
          <w:tcPr>
            <w:tcW w:w="13" w:type="dxa"/>
          </w:tcPr>
          <w:p w14:paraId="602DC8EC" w14:textId="77777777" w:rsidR="00F37DDF" w:rsidRDefault="00F37DDF">
            <w:pPr>
              <w:pStyle w:val="EmptyLayoutCell"/>
            </w:pPr>
          </w:p>
        </w:tc>
      </w:tr>
    </w:tbl>
    <w:p w14:paraId="311C6604" w14:textId="77777777" w:rsidR="00F37DDF" w:rsidRDefault="00F37DDF"/>
    <w:sectPr w:rsidR="00F37DD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777"/>
    <w:rsid w:val="00670583"/>
    <w:rsid w:val="007B4777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663B"/>
  <w15:chartTrackingRefBased/>
  <w15:docId w15:val="{612B6FF3-E751-4A1A-8FB2-E00FE39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3342</Words>
  <Characters>1906</Characters>
  <Application>Microsoft Office Word</Application>
  <DocSecurity>0</DocSecurity>
  <Lines>15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Indrė Baumilaitė</dc:creator>
  <cp:keywords/>
  <cp:lastModifiedBy>Indrė Baumilaitė</cp:lastModifiedBy>
  <cp:revision>3</cp:revision>
  <dcterms:created xsi:type="dcterms:W3CDTF">2022-02-01T13:14:00Z</dcterms:created>
  <dcterms:modified xsi:type="dcterms:W3CDTF">2023-05-31T09:28:00Z</dcterms:modified>
</cp:coreProperties>
</file>